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CA3BE" w14:textId="77777777" w:rsidR="000E6769" w:rsidRPr="000E6769" w:rsidRDefault="000E6769" w:rsidP="000E6769">
      <w:pPr>
        <w:pStyle w:val="Heading1"/>
        <w:rPr>
          <w:rFonts w:asciiTheme="majorBidi" w:hAnsiTheme="majorBidi"/>
          <w:sz w:val="24"/>
          <w:szCs w:val="24"/>
        </w:rPr>
      </w:pPr>
      <w:bookmarkStart w:id="0" w:name="_Toc161297506"/>
      <w:r w:rsidRPr="000E6769">
        <w:rPr>
          <w:rFonts w:asciiTheme="majorBidi" w:hAnsiTheme="majorBidi"/>
          <w:sz w:val="24"/>
          <w:szCs w:val="24"/>
        </w:rPr>
        <w:t>1.1 Background</w:t>
      </w:r>
      <w:bookmarkEnd w:id="0"/>
    </w:p>
    <w:p w14:paraId="49826FB6"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 xml:space="preserve">Section 188 Sub-section 1 (a)(b)(c) of the Local Governance Act 2016, Act 936 enjoins the Regional Coordinating Councils to monitor, coordinate and evaluate the performance of District Assemblies; monitor the use of moneys mobilized by the District Assemblies or allocated and released to the District Assemblies by any agency of Central Government; review and co-ordinate public services in their regions of jurisdiction. </w:t>
      </w:r>
    </w:p>
    <w:p w14:paraId="2C048218" w14:textId="77777777" w:rsidR="000E6769" w:rsidRPr="000E6769" w:rsidRDefault="000E6769" w:rsidP="000E6769">
      <w:pPr>
        <w:spacing w:after="240" w:line="360" w:lineRule="auto"/>
        <w:jc w:val="both"/>
        <w:rPr>
          <w:rFonts w:asciiTheme="majorBidi" w:hAnsiTheme="majorBidi" w:cstheme="majorBidi"/>
          <w:sz w:val="24"/>
          <w:szCs w:val="24"/>
        </w:rPr>
      </w:pPr>
      <w:r w:rsidRPr="000E6769">
        <w:rPr>
          <w:rFonts w:asciiTheme="majorBidi" w:hAnsiTheme="majorBidi" w:cstheme="majorBidi"/>
          <w:sz w:val="24"/>
          <w:szCs w:val="24"/>
        </w:rPr>
        <w:t>Key Performance Indicator (KPI) 2.5 of the 2023 Local Government Service Performance Contract signed between the Honourable Regional Minister and the Chief Director of the Regional Co-ordinating Council requires the Regional Co-ordinating Council to bi-annually ( end of July 2023 and end January 2024) monitor the implementation of Performance Contracts and Performance Appraisals of Municipal and District Assemblies in the Region.</w:t>
      </w:r>
    </w:p>
    <w:p w14:paraId="43FF988D"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 xml:space="preserve">The rationale for the Regional Planning Coordinating Unit which is the technical arm of the Eastern Regional Coordinating Council to undertake monitoring of activities of Municipal and District Assemblies in the Region and to provide them with technical support services where applicable is in pursuance of its mandate under Section 180 (1) (a) and (2) (b) of the Local Governance Act, 2016, Act 936. </w:t>
      </w:r>
    </w:p>
    <w:p w14:paraId="3F8C3E27" w14:textId="77777777" w:rsidR="000E6769" w:rsidRPr="000E6769" w:rsidRDefault="000E6769" w:rsidP="000E6769">
      <w:pPr>
        <w:spacing w:after="240" w:line="360" w:lineRule="auto"/>
        <w:jc w:val="both"/>
        <w:rPr>
          <w:rFonts w:asciiTheme="majorBidi" w:hAnsiTheme="majorBidi" w:cstheme="majorBidi"/>
          <w:sz w:val="24"/>
          <w:szCs w:val="24"/>
        </w:rPr>
      </w:pPr>
      <w:r w:rsidRPr="000E6769">
        <w:rPr>
          <w:rFonts w:asciiTheme="majorBidi" w:hAnsiTheme="majorBidi" w:cstheme="majorBidi"/>
          <w:sz w:val="24"/>
          <w:szCs w:val="24"/>
        </w:rPr>
        <w:t>It is in view of the above that the Office of the Eastern Regional Co-ordinating Council (ERCC), conducted an exercise to monitor the progress of achievement of the key deliverables outlined in the Performance Contract of Municipal/District Chief Executives and Co-ordinating Directors Performance Contract.</w:t>
      </w:r>
    </w:p>
    <w:p w14:paraId="02392B59" w14:textId="77777777" w:rsidR="000E6769" w:rsidRPr="000E6769" w:rsidRDefault="000E6769" w:rsidP="000E6769">
      <w:pPr>
        <w:spacing w:line="360" w:lineRule="auto"/>
        <w:jc w:val="both"/>
        <w:rPr>
          <w:rFonts w:asciiTheme="majorBidi" w:hAnsiTheme="majorBidi" w:cstheme="majorBidi"/>
          <w:sz w:val="24"/>
          <w:szCs w:val="24"/>
        </w:rPr>
      </w:pPr>
    </w:p>
    <w:p w14:paraId="6640AC41" w14:textId="77777777" w:rsidR="000E6769" w:rsidRPr="000E6769" w:rsidRDefault="000E6769" w:rsidP="000E6769">
      <w:pPr>
        <w:pStyle w:val="Heading1"/>
        <w:rPr>
          <w:rFonts w:asciiTheme="majorBidi" w:hAnsiTheme="majorBidi"/>
          <w:sz w:val="24"/>
          <w:szCs w:val="24"/>
        </w:rPr>
      </w:pPr>
      <w:bookmarkStart w:id="1" w:name="_Toc161297507"/>
      <w:r w:rsidRPr="000E6769">
        <w:rPr>
          <w:rFonts w:asciiTheme="majorBidi" w:hAnsiTheme="majorBidi"/>
          <w:sz w:val="24"/>
          <w:szCs w:val="24"/>
        </w:rPr>
        <w:t>1.2 Objectives of the Exercise</w:t>
      </w:r>
      <w:bookmarkEnd w:id="1"/>
    </w:p>
    <w:p w14:paraId="5A1D18EC" w14:textId="77777777" w:rsidR="000E6769" w:rsidRPr="000E6769" w:rsidRDefault="000E6769" w:rsidP="000E6769">
      <w:pPr>
        <w:spacing w:line="360" w:lineRule="auto"/>
        <w:jc w:val="both"/>
        <w:rPr>
          <w:rFonts w:asciiTheme="majorBidi" w:hAnsiTheme="majorBidi" w:cstheme="majorBidi"/>
          <w:b/>
          <w:sz w:val="24"/>
          <w:szCs w:val="24"/>
        </w:rPr>
      </w:pPr>
      <w:r w:rsidRPr="000E6769">
        <w:rPr>
          <w:rFonts w:asciiTheme="majorBidi" w:hAnsiTheme="majorBidi" w:cstheme="majorBidi"/>
          <w:sz w:val="24"/>
          <w:szCs w:val="24"/>
        </w:rPr>
        <w:t xml:space="preserve">The objective of the mid-year review was to review how all 33 Municipal and District Assemblies were progressing in fulfilling their obligations in the Key Performance Areas of the 2023 Performance Contract by the mid-year. </w:t>
      </w:r>
    </w:p>
    <w:p w14:paraId="29520860"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Additionally, the monitoring was to provide on the spot technical backstopping into Assemblies in areas where there identified gaps.</w:t>
      </w:r>
    </w:p>
    <w:p w14:paraId="4B182144" w14:textId="77777777" w:rsidR="000E6769" w:rsidRPr="000E6769" w:rsidRDefault="000E6769" w:rsidP="000E6769">
      <w:pPr>
        <w:pStyle w:val="Heading1"/>
        <w:rPr>
          <w:rFonts w:asciiTheme="majorBidi" w:hAnsiTheme="majorBidi"/>
          <w:sz w:val="24"/>
          <w:szCs w:val="24"/>
        </w:rPr>
      </w:pPr>
      <w:bookmarkStart w:id="2" w:name="_Toc161297508"/>
      <w:r w:rsidRPr="000E6769">
        <w:rPr>
          <w:rFonts w:asciiTheme="majorBidi" w:hAnsiTheme="majorBidi"/>
          <w:sz w:val="24"/>
          <w:szCs w:val="24"/>
        </w:rPr>
        <w:lastRenderedPageBreak/>
        <w:t>1.3 Scope</w:t>
      </w:r>
      <w:bookmarkEnd w:id="2"/>
      <w:r w:rsidRPr="000E6769">
        <w:rPr>
          <w:rFonts w:asciiTheme="majorBidi" w:hAnsiTheme="majorBidi"/>
          <w:sz w:val="24"/>
          <w:szCs w:val="24"/>
        </w:rPr>
        <w:t xml:space="preserve"> </w:t>
      </w:r>
    </w:p>
    <w:p w14:paraId="77C11819"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The Exercise covered the thirty (35) indicators in the seven (7) Key Performance Areas (KPAs). It also covered all the Municipal and District Assemblies in the Region.</w:t>
      </w:r>
    </w:p>
    <w:p w14:paraId="0F4C1600" w14:textId="77777777" w:rsidR="000E6769" w:rsidRPr="000E6769" w:rsidRDefault="000E6769" w:rsidP="000E6769">
      <w:pPr>
        <w:pStyle w:val="Heading1"/>
        <w:rPr>
          <w:rFonts w:asciiTheme="majorBidi" w:hAnsiTheme="majorBidi"/>
          <w:sz w:val="24"/>
          <w:szCs w:val="24"/>
        </w:rPr>
      </w:pPr>
      <w:r w:rsidRPr="000E6769">
        <w:rPr>
          <w:rFonts w:asciiTheme="majorBidi" w:hAnsiTheme="majorBidi"/>
          <w:sz w:val="24"/>
          <w:szCs w:val="24"/>
        </w:rPr>
        <w:t>1.1 Background</w:t>
      </w:r>
    </w:p>
    <w:p w14:paraId="74F4BA9D"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 xml:space="preserve">Section 188 Sub-section 1 (a)(b)(c) of the Local Governance Act 2016, Act 936 enjoins the Regional Coordinating Councils to monitor, coordinate and evaluate the performance of District Assemblies; monitor the use of moneys mobilized by the District Assemblies or allocated and released to the District Assemblies by any agency of Central Government; review and co-ordinate public services in their regions of jurisdiction. </w:t>
      </w:r>
    </w:p>
    <w:p w14:paraId="6BA81736" w14:textId="77777777" w:rsidR="000E6769" w:rsidRPr="000E6769" w:rsidRDefault="000E6769" w:rsidP="000E6769">
      <w:pPr>
        <w:spacing w:after="240" w:line="360" w:lineRule="auto"/>
        <w:jc w:val="both"/>
        <w:rPr>
          <w:rFonts w:asciiTheme="majorBidi" w:hAnsiTheme="majorBidi" w:cstheme="majorBidi"/>
          <w:sz w:val="24"/>
          <w:szCs w:val="24"/>
        </w:rPr>
      </w:pPr>
      <w:r w:rsidRPr="000E6769">
        <w:rPr>
          <w:rFonts w:asciiTheme="majorBidi" w:hAnsiTheme="majorBidi" w:cstheme="majorBidi"/>
          <w:sz w:val="24"/>
          <w:szCs w:val="24"/>
        </w:rPr>
        <w:t>Key Performance Indicator (KPI) 2.5 of the 2023 Local Government Service Performance Contract signed between the Honourable Regional Minister and the Chief Director of the Regional Co-ordinating Council requires the Regional Co-ordinating Council to bi-annually ( end of July 2023 and end January 2024) monitor the implementation of Performance Contracts and Performance Appraisals of Municipal and District Assemblies in the Region.</w:t>
      </w:r>
    </w:p>
    <w:p w14:paraId="2A8F6E53"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 xml:space="preserve">The rationale for the Regional Planning Coordinating Unit which is the technical arm of the Eastern Regional Coordinating Council to undertake monitoring of activities of Municipal and District Assemblies in the Region and to provide them with technical support services where applicable is in pursuance of its mandate under Section 180 (1) (a) and (2) (b) of the Local Governance Act, 2016, Act 936. </w:t>
      </w:r>
    </w:p>
    <w:p w14:paraId="5B883BCB" w14:textId="77777777" w:rsidR="000E6769" w:rsidRPr="000E6769" w:rsidRDefault="000E6769" w:rsidP="000E6769">
      <w:pPr>
        <w:spacing w:after="240" w:line="360" w:lineRule="auto"/>
        <w:jc w:val="both"/>
        <w:rPr>
          <w:rFonts w:asciiTheme="majorBidi" w:hAnsiTheme="majorBidi" w:cstheme="majorBidi"/>
          <w:sz w:val="24"/>
          <w:szCs w:val="24"/>
        </w:rPr>
      </w:pPr>
      <w:r w:rsidRPr="000E6769">
        <w:rPr>
          <w:rFonts w:asciiTheme="majorBidi" w:hAnsiTheme="majorBidi" w:cstheme="majorBidi"/>
          <w:sz w:val="24"/>
          <w:szCs w:val="24"/>
        </w:rPr>
        <w:t>It is in view of the above that the Office of the Eastern Regional Co-ordinating Council (ERCC), conducted an exercise to monitor the progress of achievement of the key deliverables outlined in the Performance Contract of Municipal/District Chief Executives and Co-ordinating Directors Performance Contract.</w:t>
      </w:r>
    </w:p>
    <w:p w14:paraId="146ACC31" w14:textId="77777777" w:rsidR="000E6769" w:rsidRPr="000E6769" w:rsidRDefault="000E6769" w:rsidP="000E6769">
      <w:pPr>
        <w:spacing w:line="360" w:lineRule="auto"/>
        <w:jc w:val="both"/>
        <w:rPr>
          <w:rFonts w:asciiTheme="majorBidi" w:hAnsiTheme="majorBidi" w:cstheme="majorBidi"/>
          <w:sz w:val="24"/>
          <w:szCs w:val="24"/>
        </w:rPr>
      </w:pPr>
    </w:p>
    <w:p w14:paraId="6028276D" w14:textId="77777777" w:rsidR="000E6769" w:rsidRPr="000E6769" w:rsidRDefault="000E6769" w:rsidP="000E6769">
      <w:pPr>
        <w:pStyle w:val="Heading1"/>
        <w:rPr>
          <w:rFonts w:asciiTheme="majorBidi" w:hAnsiTheme="majorBidi"/>
          <w:sz w:val="24"/>
          <w:szCs w:val="24"/>
        </w:rPr>
      </w:pPr>
      <w:r w:rsidRPr="000E6769">
        <w:rPr>
          <w:rFonts w:asciiTheme="majorBidi" w:hAnsiTheme="majorBidi"/>
          <w:sz w:val="24"/>
          <w:szCs w:val="24"/>
        </w:rPr>
        <w:lastRenderedPageBreak/>
        <w:t>1.2 Objectives of the Exercise</w:t>
      </w:r>
    </w:p>
    <w:p w14:paraId="7F7D6034" w14:textId="77777777" w:rsidR="000E6769" w:rsidRPr="000E6769" w:rsidRDefault="000E6769" w:rsidP="000E6769">
      <w:pPr>
        <w:spacing w:line="360" w:lineRule="auto"/>
        <w:jc w:val="both"/>
        <w:rPr>
          <w:rFonts w:asciiTheme="majorBidi" w:hAnsiTheme="majorBidi" w:cstheme="majorBidi"/>
          <w:b/>
          <w:sz w:val="24"/>
          <w:szCs w:val="24"/>
        </w:rPr>
      </w:pPr>
      <w:r w:rsidRPr="000E6769">
        <w:rPr>
          <w:rFonts w:asciiTheme="majorBidi" w:hAnsiTheme="majorBidi" w:cstheme="majorBidi"/>
          <w:sz w:val="24"/>
          <w:szCs w:val="24"/>
        </w:rPr>
        <w:t xml:space="preserve">The objective of the mid-year review was to review how all 33 Municipal and District Assemblies were progressing in fulfilling their obligations in the Key Performance Areas of the 2023 Performance Contract by the mid-year. </w:t>
      </w:r>
    </w:p>
    <w:p w14:paraId="07E0A268"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Additionally, the monitoring was to provide on the spot technical backstopping into Assemblies in areas where there identified gaps.</w:t>
      </w:r>
    </w:p>
    <w:p w14:paraId="4FC31877" w14:textId="77777777" w:rsidR="000E6769" w:rsidRPr="000E6769" w:rsidRDefault="000E6769" w:rsidP="000E6769">
      <w:pPr>
        <w:pStyle w:val="Heading1"/>
        <w:rPr>
          <w:rFonts w:asciiTheme="majorBidi" w:hAnsiTheme="majorBidi"/>
          <w:sz w:val="24"/>
          <w:szCs w:val="24"/>
        </w:rPr>
      </w:pPr>
      <w:r w:rsidRPr="000E6769">
        <w:rPr>
          <w:rFonts w:asciiTheme="majorBidi" w:hAnsiTheme="majorBidi"/>
          <w:sz w:val="24"/>
          <w:szCs w:val="24"/>
        </w:rPr>
        <w:t xml:space="preserve">1.3 Scope </w:t>
      </w:r>
    </w:p>
    <w:p w14:paraId="0A8E7F46" w14:textId="77777777" w:rsidR="000E6769" w:rsidRPr="000E6769" w:rsidRDefault="000E6769" w:rsidP="000E6769">
      <w:pPr>
        <w:spacing w:line="360" w:lineRule="auto"/>
        <w:jc w:val="both"/>
        <w:rPr>
          <w:rFonts w:asciiTheme="majorBidi" w:hAnsiTheme="majorBidi" w:cstheme="majorBidi"/>
          <w:sz w:val="24"/>
          <w:szCs w:val="24"/>
        </w:rPr>
      </w:pPr>
      <w:r w:rsidRPr="000E6769">
        <w:rPr>
          <w:rFonts w:asciiTheme="majorBidi" w:hAnsiTheme="majorBidi" w:cstheme="majorBidi"/>
          <w:sz w:val="24"/>
          <w:szCs w:val="24"/>
        </w:rPr>
        <w:t>The Exercise covered the thirty (35) indicators in the seven (7) Key Performance Areas (KPAs). It also covered all the Municipal and District Assemblies in the Region.</w:t>
      </w:r>
    </w:p>
    <w:p w14:paraId="023E6E95" w14:textId="0369F0B1" w:rsidR="000E6769" w:rsidRPr="000E6769" w:rsidRDefault="000E6769" w:rsidP="000E6769">
      <w:pPr>
        <w:spacing w:line="360" w:lineRule="auto"/>
        <w:jc w:val="both"/>
        <w:rPr>
          <w:rFonts w:asciiTheme="majorBidi" w:hAnsiTheme="majorBidi" w:cstheme="majorBidi"/>
          <w:b/>
          <w:bCs/>
          <w:sz w:val="24"/>
          <w:szCs w:val="24"/>
        </w:rPr>
      </w:pPr>
      <w:r w:rsidRPr="000E6769">
        <w:rPr>
          <w:rFonts w:asciiTheme="majorBidi" w:hAnsiTheme="majorBidi" w:cstheme="majorBidi"/>
          <w:b/>
          <w:bCs/>
          <w:sz w:val="24"/>
          <w:szCs w:val="24"/>
        </w:rPr>
        <w:t xml:space="preserve">Teams and Duration </w:t>
      </w:r>
    </w:p>
    <w:p w14:paraId="25015EB1" w14:textId="77777777" w:rsidR="000E6769" w:rsidRPr="000E6769" w:rsidRDefault="000E6769" w:rsidP="000E6769">
      <w:pPr>
        <w:spacing w:line="360" w:lineRule="auto"/>
        <w:jc w:val="both"/>
        <w:rPr>
          <w:rFonts w:asciiTheme="majorBidi" w:hAnsiTheme="majorBidi" w:cstheme="majorBidi"/>
          <w:sz w:val="24"/>
          <w:szCs w:val="24"/>
          <w:lang w:val="en-US"/>
        </w:rPr>
      </w:pPr>
      <w:r w:rsidRPr="000E6769">
        <w:rPr>
          <w:rFonts w:asciiTheme="majorBidi" w:hAnsiTheme="majorBidi" w:cstheme="majorBidi"/>
          <w:sz w:val="24"/>
          <w:szCs w:val="24"/>
          <w:lang w:val="en-US"/>
        </w:rPr>
        <w:t xml:space="preserve">Five teams made up of three (3) officers each, was formed with </w:t>
      </w:r>
      <w:r w:rsidRPr="000E6769">
        <w:rPr>
          <w:rFonts w:asciiTheme="majorBidi" w:hAnsiTheme="majorBidi" w:cstheme="majorBidi"/>
          <w:sz w:val="24"/>
          <w:szCs w:val="24"/>
        </w:rPr>
        <w:t xml:space="preserve">each Team assigned to specific number of Municipal/District Assemblies and tasked to </w:t>
      </w:r>
      <w:r w:rsidRPr="000E6769">
        <w:rPr>
          <w:rFonts w:asciiTheme="majorBidi" w:hAnsiTheme="majorBidi" w:cstheme="majorBidi"/>
          <w:sz w:val="24"/>
          <w:szCs w:val="24"/>
          <w:lang w:val="en-US"/>
        </w:rPr>
        <w:t>use a day to undertake the assignment in two Assemblies. The exercise took place from 5</w:t>
      </w:r>
      <w:r w:rsidRPr="000E6769">
        <w:rPr>
          <w:rFonts w:asciiTheme="majorBidi" w:hAnsiTheme="majorBidi" w:cstheme="majorBidi"/>
          <w:sz w:val="24"/>
          <w:szCs w:val="24"/>
          <w:vertAlign w:val="superscript"/>
          <w:lang w:val="en-US"/>
        </w:rPr>
        <w:t>th</w:t>
      </w:r>
      <w:r w:rsidRPr="000E6769">
        <w:rPr>
          <w:rFonts w:asciiTheme="majorBidi" w:hAnsiTheme="majorBidi" w:cstheme="majorBidi"/>
          <w:sz w:val="24"/>
          <w:szCs w:val="24"/>
          <w:lang w:val="en-US"/>
        </w:rPr>
        <w:t xml:space="preserve"> -8</w:t>
      </w:r>
      <w:r w:rsidRPr="000E6769">
        <w:rPr>
          <w:rFonts w:asciiTheme="majorBidi" w:hAnsiTheme="majorBidi" w:cstheme="majorBidi"/>
          <w:sz w:val="24"/>
          <w:szCs w:val="24"/>
          <w:vertAlign w:val="superscript"/>
          <w:lang w:val="en-US"/>
        </w:rPr>
        <w:t>th</w:t>
      </w:r>
      <w:r w:rsidRPr="000E6769">
        <w:rPr>
          <w:rFonts w:asciiTheme="majorBidi" w:hAnsiTheme="majorBidi" w:cstheme="majorBidi"/>
          <w:sz w:val="24"/>
          <w:szCs w:val="24"/>
          <w:lang w:val="en-US"/>
        </w:rPr>
        <w:t xml:space="preserve"> July 2023.</w:t>
      </w:r>
    </w:p>
    <w:p w14:paraId="23FCEAFB" w14:textId="77777777" w:rsidR="000E6769" w:rsidRPr="000E6769" w:rsidRDefault="000E6769">
      <w:pPr>
        <w:rPr>
          <w:rFonts w:asciiTheme="majorBidi" w:hAnsiTheme="majorBidi" w:cstheme="majorBidi"/>
          <w:sz w:val="24"/>
          <w:szCs w:val="24"/>
        </w:rPr>
      </w:pPr>
    </w:p>
    <w:sectPr w:rsidR="000E6769" w:rsidRPr="000E67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69"/>
    <w:rsid w:val="000E6769"/>
  </w:rsids>
  <m:mathPr>
    <m:mathFont m:val="Cambria Math"/>
    <m:brkBin m:val="before"/>
    <m:brkBinSub m:val="--"/>
    <m:smallFrac m:val="0"/>
    <m:dispDef/>
    <m:lMargin m:val="0"/>
    <m:rMargin m:val="0"/>
    <m:defJc m:val="centerGroup"/>
    <m:wrapIndent m:val="1440"/>
    <m:intLim m:val="subSup"/>
    <m:naryLim m:val="undOvr"/>
  </m:mathPr>
  <w:themeFontLang w:val="en-G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7053"/>
  <w15:chartTrackingRefBased/>
  <w15:docId w15:val="{35F05B46-4502-4A4C-A3F3-01C9F22D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769"/>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0E676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H"/>
      <w14:ligatures w14:val="standardContextual"/>
    </w:rPr>
  </w:style>
  <w:style w:type="paragraph" w:styleId="Heading2">
    <w:name w:val="heading 2"/>
    <w:basedOn w:val="Normal"/>
    <w:next w:val="Normal"/>
    <w:link w:val="Heading2Char"/>
    <w:uiPriority w:val="9"/>
    <w:semiHidden/>
    <w:unhideWhenUsed/>
    <w:qFormat/>
    <w:rsid w:val="000E676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H"/>
      <w14:ligatures w14:val="standardContextual"/>
    </w:rPr>
  </w:style>
  <w:style w:type="paragraph" w:styleId="Heading3">
    <w:name w:val="heading 3"/>
    <w:basedOn w:val="Normal"/>
    <w:next w:val="Normal"/>
    <w:link w:val="Heading3Char"/>
    <w:uiPriority w:val="9"/>
    <w:semiHidden/>
    <w:unhideWhenUsed/>
    <w:qFormat/>
    <w:rsid w:val="000E6769"/>
    <w:pPr>
      <w:keepNext/>
      <w:keepLines/>
      <w:spacing w:before="160" w:after="80" w:line="278" w:lineRule="auto"/>
      <w:outlineLvl w:val="2"/>
    </w:pPr>
    <w:rPr>
      <w:rFonts w:eastAsiaTheme="majorEastAsia" w:cstheme="majorBidi"/>
      <w:color w:val="0F4761" w:themeColor="accent1" w:themeShade="BF"/>
      <w:kern w:val="2"/>
      <w:sz w:val="28"/>
      <w:szCs w:val="28"/>
      <w:lang w:val="en-GH"/>
      <w14:ligatures w14:val="standardContextual"/>
    </w:rPr>
  </w:style>
  <w:style w:type="paragraph" w:styleId="Heading4">
    <w:name w:val="heading 4"/>
    <w:basedOn w:val="Normal"/>
    <w:next w:val="Normal"/>
    <w:link w:val="Heading4Char"/>
    <w:uiPriority w:val="9"/>
    <w:semiHidden/>
    <w:unhideWhenUsed/>
    <w:qFormat/>
    <w:rsid w:val="000E6769"/>
    <w:pPr>
      <w:keepNext/>
      <w:keepLines/>
      <w:spacing w:before="80" w:after="40" w:line="278" w:lineRule="auto"/>
      <w:outlineLvl w:val="3"/>
    </w:pPr>
    <w:rPr>
      <w:rFonts w:eastAsiaTheme="majorEastAsia" w:cstheme="majorBidi"/>
      <w:i/>
      <w:iCs/>
      <w:color w:val="0F4761" w:themeColor="accent1" w:themeShade="BF"/>
      <w:kern w:val="2"/>
      <w:sz w:val="24"/>
      <w:szCs w:val="24"/>
      <w:lang w:val="en-GH"/>
      <w14:ligatures w14:val="standardContextual"/>
    </w:rPr>
  </w:style>
  <w:style w:type="paragraph" w:styleId="Heading5">
    <w:name w:val="heading 5"/>
    <w:basedOn w:val="Normal"/>
    <w:next w:val="Normal"/>
    <w:link w:val="Heading5Char"/>
    <w:uiPriority w:val="9"/>
    <w:semiHidden/>
    <w:unhideWhenUsed/>
    <w:qFormat/>
    <w:rsid w:val="000E6769"/>
    <w:pPr>
      <w:keepNext/>
      <w:keepLines/>
      <w:spacing w:before="80" w:after="40" w:line="278" w:lineRule="auto"/>
      <w:outlineLvl w:val="4"/>
    </w:pPr>
    <w:rPr>
      <w:rFonts w:eastAsiaTheme="majorEastAsia" w:cstheme="majorBidi"/>
      <w:color w:val="0F4761" w:themeColor="accent1" w:themeShade="BF"/>
      <w:kern w:val="2"/>
      <w:sz w:val="24"/>
      <w:szCs w:val="24"/>
      <w:lang w:val="en-GH"/>
      <w14:ligatures w14:val="standardContextual"/>
    </w:rPr>
  </w:style>
  <w:style w:type="paragraph" w:styleId="Heading6">
    <w:name w:val="heading 6"/>
    <w:basedOn w:val="Normal"/>
    <w:next w:val="Normal"/>
    <w:link w:val="Heading6Char"/>
    <w:uiPriority w:val="9"/>
    <w:semiHidden/>
    <w:unhideWhenUsed/>
    <w:qFormat/>
    <w:rsid w:val="000E6769"/>
    <w:pPr>
      <w:keepNext/>
      <w:keepLines/>
      <w:spacing w:before="40" w:after="0" w:line="278" w:lineRule="auto"/>
      <w:outlineLvl w:val="5"/>
    </w:pPr>
    <w:rPr>
      <w:rFonts w:eastAsiaTheme="majorEastAsia" w:cstheme="majorBidi"/>
      <w:i/>
      <w:iCs/>
      <w:color w:val="595959" w:themeColor="text1" w:themeTint="A6"/>
      <w:kern w:val="2"/>
      <w:sz w:val="24"/>
      <w:szCs w:val="24"/>
      <w:lang w:val="en-GH"/>
      <w14:ligatures w14:val="standardContextual"/>
    </w:rPr>
  </w:style>
  <w:style w:type="paragraph" w:styleId="Heading7">
    <w:name w:val="heading 7"/>
    <w:basedOn w:val="Normal"/>
    <w:next w:val="Normal"/>
    <w:link w:val="Heading7Char"/>
    <w:uiPriority w:val="9"/>
    <w:semiHidden/>
    <w:unhideWhenUsed/>
    <w:qFormat/>
    <w:rsid w:val="000E6769"/>
    <w:pPr>
      <w:keepNext/>
      <w:keepLines/>
      <w:spacing w:before="40" w:after="0" w:line="278" w:lineRule="auto"/>
      <w:outlineLvl w:val="6"/>
    </w:pPr>
    <w:rPr>
      <w:rFonts w:eastAsiaTheme="majorEastAsia" w:cstheme="majorBidi"/>
      <w:color w:val="595959" w:themeColor="text1" w:themeTint="A6"/>
      <w:kern w:val="2"/>
      <w:sz w:val="24"/>
      <w:szCs w:val="24"/>
      <w:lang w:val="en-GH"/>
      <w14:ligatures w14:val="standardContextual"/>
    </w:rPr>
  </w:style>
  <w:style w:type="paragraph" w:styleId="Heading8">
    <w:name w:val="heading 8"/>
    <w:basedOn w:val="Normal"/>
    <w:next w:val="Normal"/>
    <w:link w:val="Heading8Char"/>
    <w:uiPriority w:val="9"/>
    <w:semiHidden/>
    <w:unhideWhenUsed/>
    <w:qFormat/>
    <w:rsid w:val="000E6769"/>
    <w:pPr>
      <w:keepNext/>
      <w:keepLines/>
      <w:spacing w:after="0" w:line="278" w:lineRule="auto"/>
      <w:outlineLvl w:val="7"/>
    </w:pPr>
    <w:rPr>
      <w:rFonts w:eastAsiaTheme="majorEastAsia" w:cstheme="majorBidi"/>
      <w:i/>
      <w:iCs/>
      <w:color w:val="272727" w:themeColor="text1" w:themeTint="D8"/>
      <w:kern w:val="2"/>
      <w:sz w:val="24"/>
      <w:szCs w:val="24"/>
      <w:lang w:val="en-GH"/>
      <w14:ligatures w14:val="standardContextual"/>
    </w:rPr>
  </w:style>
  <w:style w:type="paragraph" w:styleId="Heading9">
    <w:name w:val="heading 9"/>
    <w:basedOn w:val="Normal"/>
    <w:next w:val="Normal"/>
    <w:link w:val="Heading9Char"/>
    <w:uiPriority w:val="9"/>
    <w:semiHidden/>
    <w:unhideWhenUsed/>
    <w:qFormat/>
    <w:rsid w:val="000E6769"/>
    <w:pPr>
      <w:keepNext/>
      <w:keepLines/>
      <w:spacing w:after="0" w:line="278" w:lineRule="auto"/>
      <w:outlineLvl w:val="8"/>
    </w:pPr>
    <w:rPr>
      <w:rFonts w:eastAsiaTheme="majorEastAsia" w:cstheme="majorBidi"/>
      <w:color w:val="272727" w:themeColor="text1" w:themeTint="D8"/>
      <w:kern w:val="2"/>
      <w:sz w:val="24"/>
      <w:szCs w:val="24"/>
      <w:lang w:val="en-G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7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7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7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7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7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7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7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7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769"/>
    <w:rPr>
      <w:rFonts w:eastAsiaTheme="majorEastAsia" w:cstheme="majorBidi"/>
      <w:color w:val="272727" w:themeColor="text1" w:themeTint="D8"/>
    </w:rPr>
  </w:style>
  <w:style w:type="paragraph" w:styleId="Title">
    <w:name w:val="Title"/>
    <w:basedOn w:val="Normal"/>
    <w:next w:val="Normal"/>
    <w:link w:val="TitleChar"/>
    <w:uiPriority w:val="10"/>
    <w:qFormat/>
    <w:rsid w:val="000E6769"/>
    <w:pPr>
      <w:spacing w:after="80" w:line="240" w:lineRule="auto"/>
      <w:contextualSpacing/>
    </w:pPr>
    <w:rPr>
      <w:rFonts w:asciiTheme="majorHAnsi" w:eastAsiaTheme="majorEastAsia" w:hAnsiTheme="majorHAnsi" w:cstheme="majorBidi"/>
      <w:spacing w:val="-10"/>
      <w:kern w:val="28"/>
      <w:sz w:val="56"/>
      <w:szCs w:val="56"/>
      <w:lang w:val="en-GH"/>
      <w14:ligatures w14:val="standardContextual"/>
    </w:rPr>
  </w:style>
  <w:style w:type="character" w:customStyle="1" w:styleId="TitleChar">
    <w:name w:val="Title Char"/>
    <w:basedOn w:val="DefaultParagraphFont"/>
    <w:link w:val="Title"/>
    <w:uiPriority w:val="10"/>
    <w:rsid w:val="000E67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769"/>
    <w:pPr>
      <w:numPr>
        <w:ilvl w:val="1"/>
      </w:numPr>
      <w:spacing w:after="160" w:line="278" w:lineRule="auto"/>
    </w:pPr>
    <w:rPr>
      <w:rFonts w:eastAsiaTheme="majorEastAsia" w:cstheme="majorBidi"/>
      <w:color w:val="595959" w:themeColor="text1" w:themeTint="A6"/>
      <w:spacing w:val="15"/>
      <w:kern w:val="2"/>
      <w:sz w:val="28"/>
      <w:szCs w:val="28"/>
      <w:lang w:val="en-GH"/>
      <w14:ligatures w14:val="standardContextual"/>
    </w:rPr>
  </w:style>
  <w:style w:type="character" w:customStyle="1" w:styleId="SubtitleChar">
    <w:name w:val="Subtitle Char"/>
    <w:basedOn w:val="DefaultParagraphFont"/>
    <w:link w:val="Subtitle"/>
    <w:uiPriority w:val="11"/>
    <w:rsid w:val="000E67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769"/>
    <w:pPr>
      <w:spacing w:before="160" w:after="160" w:line="278" w:lineRule="auto"/>
      <w:jc w:val="center"/>
    </w:pPr>
    <w:rPr>
      <w:i/>
      <w:iCs/>
      <w:color w:val="404040" w:themeColor="text1" w:themeTint="BF"/>
      <w:kern w:val="2"/>
      <w:sz w:val="24"/>
      <w:szCs w:val="24"/>
      <w:lang w:val="en-GH"/>
      <w14:ligatures w14:val="standardContextual"/>
    </w:rPr>
  </w:style>
  <w:style w:type="character" w:customStyle="1" w:styleId="QuoteChar">
    <w:name w:val="Quote Char"/>
    <w:basedOn w:val="DefaultParagraphFont"/>
    <w:link w:val="Quote"/>
    <w:uiPriority w:val="29"/>
    <w:rsid w:val="000E6769"/>
    <w:rPr>
      <w:i/>
      <w:iCs/>
      <w:color w:val="404040" w:themeColor="text1" w:themeTint="BF"/>
    </w:rPr>
  </w:style>
  <w:style w:type="paragraph" w:styleId="ListParagraph">
    <w:name w:val="List Paragraph"/>
    <w:basedOn w:val="Normal"/>
    <w:uiPriority w:val="34"/>
    <w:qFormat/>
    <w:rsid w:val="000E6769"/>
    <w:pPr>
      <w:spacing w:after="160" w:line="278" w:lineRule="auto"/>
      <w:ind w:left="720"/>
      <w:contextualSpacing/>
    </w:pPr>
    <w:rPr>
      <w:kern w:val="2"/>
      <w:sz w:val="24"/>
      <w:szCs w:val="24"/>
      <w:lang w:val="en-GH"/>
      <w14:ligatures w14:val="standardContextual"/>
    </w:rPr>
  </w:style>
  <w:style w:type="character" w:styleId="IntenseEmphasis">
    <w:name w:val="Intense Emphasis"/>
    <w:basedOn w:val="DefaultParagraphFont"/>
    <w:uiPriority w:val="21"/>
    <w:qFormat/>
    <w:rsid w:val="000E6769"/>
    <w:rPr>
      <w:i/>
      <w:iCs/>
      <w:color w:val="0F4761" w:themeColor="accent1" w:themeShade="BF"/>
    </w:rPr>
  </w:style>
  <w:style w:type="paragraph" w:styleId="IntenseQuote">
    <w:name w:val="Intense Quote"/>
    <w:basedOn w:val="Normal"/>
    <w:next w:val="Normal"/>
    <w:link w:val="IntenseQuoteChar"/>
    <w:uiPriority w:val="30"/>
    <w:qFormat/>
    <w:rsid w:val="000E676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H"/>
      <w14:ligatures w14:val="standardContextual"/>
    </w:rPr>
  </w:style>
  <w:style w:type="character" w:customStyle="1" w:styleId="IntenseQuoteChar">
    <w:name w:val="Intense Quote Char"/>
    <w:basedOn w:val="DefaultParagraphFont"/>
    <w:link w:val="IntenseQuote"/>
    <w:uiPriority w:val="30"/>
    <w:rsid w:val="000E6769"/>
    <w:rPr>
      <w:i/>
      <w:iCs/>
      <w:color w:val="0F4761" w:themeColor="accent1" w:themeShade="BF"/>
    </w:rPr>
  </w:style>
  <w:style w:type="character" w:styleId="IntenseReference">
    <w:name w:val="Intense Reference"/>
    <w:basedOn w:val="DefaultParagraphFont"/>
    <w:uiPriority w:val="32"/>
    <w:qFormat/>
    <w:rsid w:val="000E67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683</Words>
  <Characters>3896</Characters>
  <Application>Microsoft Office Word</Application>
  <DocSecurity>0</DocSecurity>
  <Lines>32</Lines>
  <Paragraphs>9</Paragraphs>
  <ScaleCrop>false</ScaleCrop>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Kwaku Addai Mensah</dc:creator>
  <cp:keywords/>
  <dc:description/>
  <cp:lastModifiedBy>Kwaku Addai Mensah</cp:lastModifiedBy>
  <cp:revision>1</cp:revision>
  <dcterms:created xsi:type="dcterms:W3CDTF">2024-04-05T08:35:00Z</dcterms:created>
  <dcterms:modified xsi:type="dcterms:W3CDTF">2024-04-05T08:40:00Z</dcterms:modified>
</cp:coreProperties>
</file>